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5"/>
        <w:keepNext w:val="0"/>
        <w:keepLines w:val="0"/>
        <w:spacing w:before="0" w:after="0"/>
        <w:jc w:val="center"/>
        <w:outlineLvl w:val="9"/>
        <w:rPr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Optimize your resume to get more job interviews</w:t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This free resume template will help you write an ATS-friendly resume. But how do you know what the hiring manager is looking for? What skills and experience should you list to show you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outlineLvl w:val="9"/>
        <w:rPr>
          <w:rStyle w:val="None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b w:val="1"/>
          <w:bCs w:val="1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"https://www.jobscan.co/?utm_medium=referral&amp;utm_source=resume-templates&amp;utm_campaign=ats-templates&amp;utm_content=internal-link"</w:instrText>
      </w:r>
      <w:r>
        <w:rPr>
          <w:rStyle w:val="Hyperlink.0"/>
          <w:b w:val="1"/>
          <w:bCs w:val="1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b w:val="1"/>
          <w:b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b w:val="1"/>
          <w:b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s resume scanner</w:t>
      </w: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helps you optimize your resume for each job listing so that your application is more attractive to recruiters and hiring managers.</w:t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 optimized resume leads to more responses, more interviews, and more offers for the jobs you 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really</w:t>
      </w:r>
      <w:r>
        <w:rPr>
          <w:rStyle w:val="None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outlineLvl w:val="9"/>
        <w:rPr>
          <w:rStyle w:val="None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Honestly,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like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floodgates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opened. Within a week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  <w:i w:val="1"/>
          <w:iCs w:val="1"/>
          <w:outline w:val="0"/>
          <w:color w:val="0563c1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i w:val="1"/>
          <w:iCs w:val="1"/>
          <w:outline w:val="0"/>
          <w:color w:val="0563c1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"https://www.jobscan.co/blog/kelly-built-a-network-and-landed-a-job-in-a-new-city-using-jobscans-linkedin-optimization/?utm_medium=referral&amp;utm_source=resume-templates&amp;utm_campaign=ats-templates&amp;utm_content=internal-link"</w:instrText>
      </w:r>
      <w:r>
        <w:rPr>
          <w:rStyle w:val="Hyperlink.1"/>
          <w:i w:val="1"/>
          <w:iCs w:val="1"/>
          <w:outline w:val="0"/>
          <w:color w:val="0563c1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i w:val="1"/>
          <w:i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5"/>
        <w:keepNext w:val="0"/>
        <w:keepLines w:val="0"/>
        <w:spacing w:before="0" w:after="0"/>
        <w:outlineLvl w:val="9"/>
        <w:rPr>
          <w:rStyle w:val="None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outlineLvl w:val="9"/>
        <w:rPr>
          <w:rStyle w:val="None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  <w:i w:val="1"/>
          <w:iCs w:val="1"/>
          <w:outline w:val="0"/>
          <w:color w:val="0563c1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i w:val="1"/>
          <w:iCs w:val="1"/>
          <w:outline w:val="0"/>
          <w:color w:val="0563c1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"https://www.jobscan.co/blog/why-this-career-coach-uses-jobscan/https:/www.jobscan.co/?utm_medium=referral&amp;utm_source=resume-templates&amp;utm_campaign=ats-templates&amp;utm_content=internal-link"</w:instrText>
      </w:r>
      <w:r>
        <w:rPr>
          <w:rStyle w:val="Hyperlink.1"/>
          <w:i w:val="1"/>
          <w:iCs w:val="1"/>
          <w:outline w:val="0"/>
          <w:color w:val="0563c1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i w:val="1"/>
          <w:i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Mark Stark, Career Success Coach</w:t>
      </w: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5"/>
        <w:keepNext w:val="0"/>
        <w:keepLines w:val="0"/>
        <w:spacing w:before="0" w:after="0"/>
        <w:outlineLvl w:val="9"/>
        <w:rPr>
          <w:rStyle w:val="None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outlineLvl w:val="9"/>
        <w:rPr>
          <w:rStyle w:val="None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2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"https://www.jobscan.co/blog/jobscan-case-study-baylor-university/https:/www.jobscan.co/?utm_medium=referral&amp;utm_source=resume-templates&amp;utm_campaign=ats-templates&amp;utm_content=internal-link"</w:instrText>
      </w:r>
      <w:r>
        <w:rPr>
          <w:rStyle w:val="Hyperlink.2"/>
          <w:i w:val="1"/>
          <w:iCs w:val="1"/>
          <w:outline w:val="0"/>
          <w:color w:val="0563c1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i w:val="1"/>
          <w:iCs w:val="1"/>
          <w:outline w:val="0"/>
          <w:color w:val="0563c1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3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"https://www.jobscan.co/https:/www.jobscan.co/?utm_medium=referral&amp;utm_source=resume-templates&amp;utm_campaign=ats-templates&amp;utm_content=internal-link"</w:instrText>
      </w:r>
      <w:r>
        <w:rPr>
          <w:rStyle w:val="Hyperlink.3"/>
          <w:outline w:val="0"/>
          <w:color w:val="0563c1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outline w:val="0"/>
          <w:color w:val="0563c1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one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jc w:val="center"/>
        <w:outlineLvl w:val="9"/>
        <w:rPr>
          <w:rStyle w:val="None"/>
          <w:b w:val="1"/>
          <w:bCs w:val="1"/>
          <w:outline w:val="0"/>
          <w:color w:val="fc9400"/>
          <w:u w:color="fc9400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</w:pPr>
      <w:r>
        <w:rPr>
          <w:rStyle w:val="None"/>
          <w:b w:val="1"/>
          <w:bCs w:val="1"/>
          <w:outline w:val="0"/>
          <w:color w:val="fc9400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jc w:val="center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heading 5"/>
        <w:keepNext w:val="0"/>
        <w:keepLines w:val="0"/>
        <w:spacing w:before="0" w:after="0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jc w:val="center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5"/>
        <w:keepNext w:val="0"/>
        <w:keepLines w:val="0"/>
        <w:spacing w:before="0" w:after="0"/>
        <w:jc w:val="center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jc w:val="center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jc w:val="center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/>
        <w:jc w:val="center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200"/>
        <w:jc w:val="center"/>
        <w:outlineLvl w:val="9"/>
      </w:pPr>
      <w:r>
        <w:rPr>
          <w:rStyle w:val="None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tabs>
          <w:tab w:val="right" w:pos="10060"/>
        </w:tabs>
        <w:spacing w:line="240" w:lineRule="auto"/>
        <w:jc w:val="center"/>
        <w:rPr>
          <w:rStyle w:val="None"/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Style w:val="None"/>
          <w:rFonts w:ascii="Cambria" w:hAnsi="Cambria"/>
          <w:b w:val="1"/>
          <w:bCs w:val="1"/>
          <w:outline w:val="0"/>
          <w:color w:val="666666"/>
          <w:sz w:val="36"/>
          <w:szCs w:val="36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Joe Jobscan</w:t>
      </w:r>
    </w:p>
    <w:p>
      <w:pPr>
        <w:pStyle w:val="normal.0"/>
        <w:tabs>
          <w:tab w:val="right" w:pos="10060"/>
        </w:tabs>
        <w:spacing w:line="240" w:lineRule="auto"/>
        <w:jc w:val="center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>Seattle, WA 98101 | (555) 555-5555  | joejobscan@jobscan.co | linkedin.com/in/joe-jobscan</w:t>
      </w:r>
    </w:p>
    <w:p>
      <w:pPr>
        <w:pStyle w:val="normal.0"/>
        <w:tabs>
          <w:tab w:val="right" w:pos="10060"/>
        </w:tabs>
        <w:spacing w:line="240" w:lineRule="auto"/>
        <w:jc w:val="center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40" w:lineRule="auto"/>
        <w:jc w:val="center"/>
        <w:rPr>
          <w:rStyle w:val="None"/>
          <w:rFonts w:ascii="Cambria" w:cs="Cambria" w:hAnsi="Cambria" w:eastAsia="Cambria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outline w:val="0"/>
          <w:color w:val="666666"/>
          <w:sz w:val="28"/>
          <w:szCs w:val="28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CAREER SUMMARY</w: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 xml:space="preserve">Partner Marketing professional with more than 10 years experience in business development, team leadership and brand strategies for global companies such as Google and Amazon. My track record reflects a history of success in generating leads, creating effective multi-platform messaging, building key partnerships and doing so all within budget. </w: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hAnsi="Cambria"/>
          <w:b w:val="1"/>
          <w:bCs w:val="1"/>
          <w:outline w:val="0"/>
          <w:color w:val="666666"/>
          <w:sz w:val="28"/>
          <w:szCs w:val="28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SKILLS AND STRENGTHS</w: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numPr>
          <w:ilvl w:val="0"/>
          <w:numId w:val="2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 xml:space="preserve">Budgeting </w:t>
      </w:r>
      <w:r>
        <w:rPr>
          <w:rStyle w:val="None"/>
          <w:rFonts w:ascii="Cambria" w:hAnsi="Cambria" w:hint="default"/>
          <w:rtl w:val="0"/>
          <w:lang w:val="en-US"/>
        </w:rPr>
        <w:t xml:space="preserve">– </w:t>
      </w:r>
      <w:r>
        <w:rPr>
          <w:rStyle w:val="None"/>
          <w:rFonts w:ascii="Cambria" w:hAnsi="Cambria"/>
          <w:rtl w:val="0"/>
          <w:lang w:val="en-US"/>
        </w:rPr>
        <w:t>Stretched the $150K budget at Google using plans designed for execution within the partner strategy.</w:t>
      </w:r>
    </w:p>
    <w:p>
      <w:pPr>
        <w:pStyle w:val="normal.0"/>
        <w:numPr>
          <w:ilvl w:val="0"/>
          <w:numId w:val="2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Multi-platform Messaging</w:t>
      </w:r>
      <w:r>
        <w:rPr>
          <w:rStyle w:val="None"/>
          <w:rFonts w:ascii="Cambria" w:hAnsi="Cambria"/>
          <w:rtl w:val="0"/>
          <w:lang w:val="en-US"/>
        </w:rPr>
        <w:t xml:space="preserve"> - Managed MDF processes, developed joint messaging and supported the content development of joint white papers, datasheets, case studies, solution briefs, partner website content (internal &amp; external), battle-cards, partner newsletters, deployment guides as well as joint marketing/lead generation campaigns.</w:t>
      </w:r>
    </w:p>
    <w:p>
      <w:pPr>
        <w:pStyle w:val="normal.0"/>
        <w:numPr>
          <w:ilvl w:val="0"/>
          <w:numId w:val="2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Relationship Building</w:t>
      </w:r>
      <w:r>
        <w:rPr>
          <w:rStyle w:val="None"/>
          <w:rFonts w:ascii="Cambria" w:hAnsi="Cambria"/>
          <w:rtl w:val="0"/>
          <w:lang w:val="en-US"/>
        </w:rPr>
        <w:t xml:space="preserve"> - Enhanced partner on-boarding with the coordination and management of internal sales presentations, on-site workshop training and webinar product roadmap sessions.</w:t>
      </w:r>
    </w:p>
    <w:p>
      <w:pPr>
        <w:pStyle w:val="normal.0"/>
        <w:numPr>
          <w:ilvl w:val="0"/>
          <w:numId w:val="2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Community Management</w:t>
      </w:r>
      <w:r>
        <w:rPr>
          <w:rStyle w:val="None"/>
          <w:rFonts w:ascii="Cambria" w:hAnsi="Cambria"/>
          <w:rtl w:val="0"/>
          <w:lang w:val="en-US"/>
        </w:rPr>
        <w:t xml:space="preserve"> - Developed online discussions, </w:t>
      </w:r>
      <w:r>
        <w:rPr>
          <w:rStyle w:val="None"/>
          <w:rFonts w:ascii="Cambria" w:hAnsi="Cambria" w:hint="default"/>
          <w:rtl w:val="0"/>
          <w:lang w:val="en-US"/>
        </w:rPr>
        <w:t>“</w:t>
      </w:r>
      <w:r>
        <w:rPr>
          <w:rStyle w:val="None"/>
          <w:rFonts w:ascii="Cambria" w:hAnsi="Cambria"/>
          <w:rtl w:val="0"/>
          <w:lang w:val="en-US"/>
        </w:rPr>
        <w:t>Partner Spotlight</w:t>
      </w:r>
      <w:r>
        <w:rPr>
          <w:rStyle w:val="None"/>
          <w:rFonts w:ascii="Cambria" w:hAnsi="Cambria" w:hint="default"/>
          <w:rtl w:val="0"/>
          <w:lang w:val="en-US"/>
        </w:rPr>
        <w:t xml:space="preserve">” </w:t>
      </w:r>
      <w:r>
        <w:rPr>
          <w:rStyle w:val="None"/>
          <w:rFonts w:ascii="Cambria" w:hAnsi="Cambria"/>
          <w:rtl w:val="0"/>
          <w:lang w:val="en-US"/>
        </w:rPr>
        <w:t>blog articles, twitter, case study, partner webcasts, video testimonials and press releases to promote partner expertise.</w: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hAnsi="Cambria"/>
          <w:b w:val="1"/>
          <w:bCs w:val="1"/>
          <w:outline w:val="0"/>
          <w:color w:val="666666"/>
          <w:sz w:val="28"/>
          <w:szCs w:val="28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PROFESSIONAL ACCOMPLISHMENTS</w: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Attracted audiences of 500+ per lead generation webinar, 1000+ online community partner members, accreditation workshop registrant levels (15+), and highest hits per partner article at Saba.</w:t>
      </w:r>
    </w:p>
    <w:p>
      <w:pPr>
        <w:pStyle w:val="normal.0"/>
        <w:numPr>
          <w:ilvl w:val="0"/>
          <w:numId w:val="4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Positioned partners to be well informed by developing a regular cadence of partner communications/newsletters on new training, product releases, customer success stories and relevant company information at EIS Group</w:t>
      </w:r>
    </w:p>
    <w:p>
      <w:pPr>
        <w:pStyle w:val="normal.0"/>
        <w:numPr>
          <w:ilvl w:val="0"/>
          <w:numId w:val="4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Strategized, led and executed B2B marketing programs for Global/National Leadership and (200+) Industry Partners/Practitioners resulting in leads of over $10M at PwC</w:t>
      </w:r>
    </w:p>
    <w:p>
      <w:pPr>
        <w:pStyle w:val="normal.0"/>
        <w:numPr>
          <w:ilvl w:val="0"/>
          <w:numId w:val="4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Owned the development and execution of the Tax Transfer Pricing Masters Series of events (100+ client attendees) and Transfer Pricing Webcast Series (1000+ client attendees) at PwC</w:t>
      </w:r>
    </w:p>
    <w:p>
      <w:pPr>
        <w:pStyle w:val="normal.0"/>
        <w:numPr>
          <w:ilvl w:val="0"/>
          <w:numId w:val="4"/>
        </w:numPr>
        <w:bidi w:val="0"/>
        <w:spacing w:line="252" w:lineRule="auto"/>
        <w:ind w:right="0"/>
        <w:jc w:val="left"/>
        <w:rPr>
          <w:rFonts w:ascii="Cambria" w:hAnsi="Cambria"/>
          <w:rtl w:val="0"/>
          <w:lang w:val="en-US"/>
        </w:rPr>
      </w:pPr>
      <w:r>
        <w:rPr>
          <w:rStyle w:val="None"/>
          <w:rFonts w:ascii="Cambria" w:hAnsi="Cambria"/>
          <w:rtl w:val="0"/>
          <w:lang w:val="en-US"/>
        </w:rPr>
        <w:t>Project managed the development and publication of PwC practice publications, including 2007 International Law Firm Strategic Survey, 2009 Transfer Pricing Perspectives Journal, 2007 Law Firm Financial and Accounting Management</w: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right" w:pos="10060"/>
        </w:tabs>
        <w:spacing w:line="252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  <w:b w:val="1"/>
          <w:bCs w:val="1"/>
          <w:outline w:val="0"/>
          <w:color w:val="666666"/>
          <w:sz w:val="28"/>
          <w:szCs w:val="28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  <w:b w:val="1"/>
          <w:bCs w:val="1"/>
          <w:outline w:val="0"/>
          <w:color w:val="666666"/>
          <w:sz w:val="28"/>
          <w:szCs w:val="28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one"/>
          <w:rFonts w:ascii="Cambria" w:hAnsi="Cambria"/>
          <w:b w:val="1"/>
          <w:bCs w:val="1"/>
          <w:outline w:val="0"/>
          <w:color w:val="666666"/>
          <w:sz w:val="28"/>
          <w:szCs w:val="28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WORK HISTORY</w:t>
      </w: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Google</w:t>
      </w:r>
      <w:r>
        <w:rPr>
          <w:rStyle w:val="None"/>
          <w:rFonts w:ascii="Cambria" w:hAnsi="Cambria"/>
          <w:rtl w:val="0"/>
          <w:lang w:val="en-US"/>
        </w:rPr>
        <w:t>, San Francisco, CA, Director, Partner/Marketing Programs</w:t>
      </w:r>
      <w:r>
        <w:rPr>
          <w:rStyle w:val="None"/>
          <w:rFonts w:ascii="Cambria" w:hAnsi="Cambria"/>
          <w:i w:val="1"/>
          <w:iCs w:val="1"/>
          <w:rtl w:val="0"/>
          <w:lang w:val="en-US"/>
        </w:rPr>
        <w:t>,</w:t>
      </w:r>
      <w:r>
        <w:rPr>
          <w:rStyle w:val="None"/>
          <w:rFonts w:ascii="Cambria" w:hAnsi="Cambria"/>
          <w:rtl w:val="0"/>
          <w:lang w:val="en-US"/>
        </w:rPr>
        <w:t xml:space="preserve"> 07/2015-Present</w:t>
      </w: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Google</w:t>
      </w:r>
      <w:r>
        <w:rPr>
          <w:rStyle w:val="None"/>
          <w:rFonts w:ascii="Cambria" w:hAnsi="Cambria"/>
          <w:rtl w:val="0"/>
          <w:lang w:val="en-US"/>
        </w:rPr>
        <w:t>, San Francisco, CA, Marketing/Program Manager</w:t>
      </w:r>
      <w:r>
        <w:rPr>
          <w:rStyle w:val="None"/>
          <w:rFonts w:ascii="Cambria" w:hAnsi="Cambria"/>
          <w:i w:val="1"/>
          <w:iCs w:val="1"/>
          <w:rtl w:val="0"/>
          <w:lang w:val="en-US"/>
        </w:rPr>
        <w:t>,</w:t>
      </w:r>
      <w:r>
        <w:rPr>
          <w:rStyle w:val="None"/>
          <w:rFonts w:ascii="Cambria" w:hAnsi="Cambria"/>
          <w:rtl w:val="0"/>
          <w:lang w:val="en-US"/>
        </w:rPr>
        <w:t xml:space="preserve"> 01/2013-07/2015</w:t>
      </w: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b w:val="1"/>
          <w:bCs w:val="1"/>
          <w:rtl w:val="0"/>
          <w:lang w:val="en-US"/>
        </w:rPr>
        <w:t>Amazon</w:t>
      </w:r>
      <w:r>
        <w:rPr>
          <w:rStyle w:val="None"/>
          <w:rFonts w:ascii="Cambria" w:hAnsi="Cambria"/>
          <w:rtl w:val="0"/>
          <w:lang w:val="en-US"/>
        </w:rPr>
        <w:t>, Seattle, WA, Associate Director, Marketing Leader, Tax (Transfer Pricing)</w:t>
      </w:r>
      <w:r>
        <w:rPr>
          <w:rStyle w:val="None"/>
          <w:rFonts w:ascii="Cambria" w:hAnsi="Cambria"/>
          <w:i w:val="1"/>
          <w:iCs w:val="1"/>
          <w:rtl w:val="0"/>
          <w:lang w:val="en-US"/>
        </w:rPr>
        <w:t>,</w:t>
      </w:r>
      <w:r>
        <w:rPr>
          <w:rStyle w:val="None"/>
          <w:rFonts w:ascii="Cambria" w:hAnsi="Cambria"/>
          <w:rtl w:val="0"/>
          <w:lang w:val="en-US"/>
        </w:rPr>
        <w:t xml:space="preserve"> 07/2003-03/2010</w:t>
      </w: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  <w:b w:val="1"/>
          <w:bCs w:val="1"/>
          <w:outline w:val="0"/>
          <w:color w:val="666666"/>
          <w:sz w:val="28"/>
          <w:szCs w:val="28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  <w:b w:val="1"/>
          <w:bCs w:val="1"/>
        </w:rPr>
      </w:pPr>
      <w:r>
        <w:rPr>
          <w:rStyle w:val="None"/>
          <w:rFonts w:ascii="Cambria" w:hAnsi="Cambria"/>
          <w:b w:val="1"/>
          <w:bCs w:val="1"/>
          <w:outline w:val="0"/>
          <w:color w:val="666666"/>
          <w:sz w:val="28"/>
          <w:szCs w:val="28"/>
          <w:u w:color="666666"/>
          <w:rtl w:val="0"/>
          <w:lang w:val="en-US"/>
          <w14:textFill>
            <w14:solidFill>
              <w14:srgbClr w14:val="666666"/>
            </w14:solidFill>
          </w14:textFill>
        </w:rPr>
        <w:t>EDUCATION</w:t>
      </w:r>
      <w:r>
        <w:rPr>
          <w:rStyle w:val="None"/>
          <w:rFonts w:ascii="Cambria" w:hAnsi="Cambria"/>
          <w:b w:val="1"/>
          <w:bCs w:val="1"/>
          <w:rtl w:val="0"/>
          <w:lang w:val="en-US"/>
        </w:rPr>
        <w:t xml:space="preserve"> </w:t>
      </w: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</w:rPr>
      </w:pPr>
      <w:r>
        <w:rPr>
          <w:rStyle w:val="None"/>
          <w:rFonts w:ascii="Cambria" w:hAnsi="Cambria"/>
          <w:rtl w:val="0"/>
          <w:lang w:val="en-US"/>
        </w:rPr>
        <w:t>Masters Certificate in Internet Marketing, 2003, Brandeis University, Waltham, MA</w:t>
      </w:r>
    </w:p>
    <w:p>
      <w:pPr>
        <w:pStyle w:val="normal.0"/>
        <w:tabs>
          <w:tab w:val="right" w:pos="10060"/>
        </w:tabs>
        <w:spacing w:line="240" w:lineRule="auto"/>
        <w:rPr>
          <w:rStyle w:val="None"/>
          <w:rFonts w:ascii="Cambria" w:cs="Cambria" w:hAnsi="Cambria" w:eastAsia="Cambria"/>
        </w:rPr>
      </w:pPr>
    </w:p>
    <w:p>
      <w:pPr>
        <w:pStyle w:val="normal.0"/>
        <w:tabs>
          <w:tab w:val="right" w:pos="10060"/>
        </w:tabs>
        <w:spacing w:line="240" w:lineRule="auto"/>
      </w:pPr>
      <w:r>
        <w:rPr>
          <w:rStyle w:val="None"/>
          <w:rFonts w:ascii="Cambria" w:hAnsi="Cambria"/>
          <w:rtl w:val="0"/>
          <w:lang w:val="en-US"/>
        </w:rPr>
        <w:t>Bachelor of Commerce, International Marketing, 2000, Northereastern University, Boston, MA</w:t>
      </w:r>
    </w:p>
    <w:sectPr>
      <w:headerReference w:type="default" r:id="rId6"/>
      <w:footerReference w:type="default" r:id="rId7"/>
      <w:pgSz w:w="12240" w:h="15840" w:orient="portrait"/>
      <w:pgMar w:top="1080" w:right="1080" w:bottom="1080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tabs>
          <w:tab w:val="right" w:pos="100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100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100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100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100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100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100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100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100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tabs>
          <w:tab w:val="right" w:pos="100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100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100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100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100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100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100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100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100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2"/>
      <w:szCs w:val="22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