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Layout w:type="fixed"/>
        <w:tblLook w:val="0400"/>
      </w:tblPr>
      <w:tblGrid>
        <w:gridCol w:w="4406"/>
        <w:gridCol w:w="6610"/>
        <w:tblGridChange w:id="0">
          <w:tblGrid>
            <w:gridCol w:w="4406"/>
            <w:gridCol w:w="661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ind w:left="-108"/>
              <w:rPr>
                <w:rFonts w:ascii="Libre Franklin" w:cs="Libre Franklin" w:eastAsia="Libre Franklin" w:hAnsi="Libre Frankl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36"/>
                <w:szCs w:val="36"/>
                <w:rtl w:val="0"/>
              </w:rPr>
              <w:t xml:space="preserve">Joe Jobscan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Libre Franklin" w:cs="Libre Franklin" w:eastAsia="Libre Franklin" w:hAnsi="Libre Franklin"/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Seattle, WA 98101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▪</w:t>
            </w: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  555-555-5555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rtl w:val="0"/>
              </w:rPr>
              <w:t xml:space="preserve">joejobscan@jobscan.co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color="000000" w:space="5" w:sz="24" w:val="single"/>
        </w:pBdr>
        <w:spacing w:before="360" w:lineRule="auto"/>
        <w:jc w:val="center"/>
        <w:rPr>
          <w:rFonts w:ascii="Libre Franklin" w:cs="Libre Franklin" w:eastAsia="Libre Franklin" w:hAnsi="Libre Franklin"/>
          <w:b w:val="1"/>
          <w:sz w:val="30"/>
          <w:szCs w:val="3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30"/>
          <w:szCs w:val="30"/>
          <w:rtl w:val="0"/>
        </w:rPr>
        <w:t xml:space="preserve">Partner Marketing </w:t>
      </w:r>
    </w:p>
    <w:p w:rsidR="00000000" w:rsidDel="00000000" w:rsidP="00000000" w:rsidRDefault="00000000" w:rsidRPr="00000000" w14:paraId="00000006">
      <w:pPr>
        <w:pBdr>
          <w:bottom w:color="000000" w:space="5" w:sz="24" w:val="single"/>
        </w:pBdr>
        <w:jc w:val="center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1"/>
          <w:szCs w:val="21"/>
          <w:rtl w:val="0"/>
        </w:rPr>
        <w:t xml:space="preserve">Business Development | Team Leadership | Brand Strategies 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right" w:pos="9648"/>
        </w:tabs>
        <w:jc w:val="left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Summary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Attracted audiences of 500+ per lead generation webinar, 1000+ online community partner members, accreditation workshop registrant levels (15+), and highest hits per partner article at Saba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Positioned partners to be well informed by developing a regular cadence of partner communications/newsletters on new training, product releases, customer success stories and relevant company information at EIS Group.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Strategized, led and executed B2B marketing programs for Global/National Leadership and (200+) Industry Partners/Practitioners resulting in leads of over $10M at PwC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Owned the development and execution of the Tax Transfer Pricing Masters Series of events (100+ client attendees) and Transfer Pricing Webcast Series (1000+ client attendees) at PwC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 managed the development and publication of PwC practice publications, including 2007 International Law Firm Strategic Survey, 2009 Transfer Pricing Perspectives Journal, 2007 Law Firm Financial and Accounting Management</w:t>
      </w:r>
    </w:p>
    <w:p w:rsidR="00000000" w:rsidDel="00000000" w:rsidP="00000000" w:rsidRDefault="00000000" w:rsidRPr="00000000" w14:paraId="0000000D">
      <w:pPr>
        <w:pStyle w:val="Heading1"/>
        <w:tabs>
          <w:tab w:val="right" w:pos="9648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Professional Experience</w:t>
      </w:r>
    </w:p>
    <w:p w:rsidR="00000000" w:rsidDel="00000000" w:rsidP="00000000" w:rsidRDefault="00000000" w:rsidRPr="00000000" w14:paraId="0000000E">
      <w:pPr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Google,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San Francisco, CA, 07/2015 – 08/2018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Director, Partner/Marketing Programs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both"/>
        <w:rPr>
          <w:rFonts w:ascii="Libre Franklin" w:cs="Libre Franklin" w:eastAsia="Libre Franklin" w:hAnsi="Libre Frankli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Achieved development initiatives in core areas (partner enablement, marketing and marketing operations) to enable successful System Integrator (SI – PwC, Cognizant) and Technology (AWS, MS Azure, VMware) partner relationships. Stretched the $150K budget using plans designed for execution within the partner strategy. Grew partnership knowledge by driving partner programs and competency requirement processes.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Served as a “point of resolution”, managing the creation of a self-service infrastructure “Partner Resource Center”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Initiated the development of Partner Business Practices – Legal Agreements and Templates, Sales Enablement, Technical and Product Support, Learning and Certification processes and tools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Managed MDF processes, developed joint messaging and supported the content development of joint white papers, datasheets, case studies, solution briefs, partner website content (internal &amp; external), battle-cards, partner newsletters, deployment guides as well as joint marketing/lead generation campaigns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Steered development of Corporate Marketing Fiscal Year Plan and Budget processes, and reconciled marketing spend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Improved new product launches by collaborating closely with SMEs to operationalize, create data-sheets, validate pricing in collaboration with third party business intelligence and analytics vendors (OEMs) and in alignment with legal compliance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Enhanced partner on-boarding with the coordination and management of internal sales presentations, on-site workshop training and webinar product roadmap sessions</w:t>
      </w:r>
    </w:p>
    <w:p w:rsidR="00000000" w:rsidDel="00000000" w:rsidP="00000000" w:rsidRDefault="00000000" w:rsidRPr="00000000" w14:paraId="00000018">
      <w:pPr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Google</w:t>
      </w: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 San Francisco CA, 01/2013 – 07/2015</w:t>
      </w:r>
    </w:p>
    <w:p w:rsidR="00000000" w:rsidDel="00000000" w:rsidP="00000000" w:rsidRDefault="00000000" w:rsidRPr="00000000" w14:paraId="0000001A">
      <w:pPr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Marketing/Program Manager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Navigated the complexities of serving in a hybrid marketing and business development role involving the recruitment and management of the Partner ecosystem (Content, Marketplace, and Global/Regional Reseller Partners). Scope required development of joint marketing plans, oversight of the Partner online community, communications, enablement, training/accreditation support, lead/demand generation, social media marketing, partner portal, website content, business/legal processes, back-end operations</w:t>
      </w:r>
      <w:r w:rsidDel="00000000" w:rsidR="00000000" w:rsidRPr="00000000">
        <w:rPr>
          <w:rFonts w:ascii="Libre Franklin" w:cs="Libre Franklin" w:eastAsia="Libre Franklin" w:hAnsi="Libre Franklin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/>
        <w:jc w:val="both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Generated $50K+ in quarterly revenues while supporting Marketplace partners with integration and marketing needs, successfully developing a vibrant, online partner community.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Surpassed previous year’s sponsorship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Owned the development and execution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 of the 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Partner Training Workshops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Acted as Community Manager and developed online discussions, “Partner Spotlight” blog articles, twitter, case study, partner webcasts, video testimonials and press releases to promote partner expertise.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Amazon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, Seattle, WA 07/2003 – 03/2010</w:t>
      </w:r>
    </w:p>
    <w:p w:rsidR="00000000" w:rsidDel="00000000" w:rsidP="00000000" w:rsidRDefault="00000000" w:rsidRPr="00000000" w14:paraId="00000022">
      <w:pPr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Associate Director, Marketing Leader, Tax (Transfer Pricing)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both"/>
        <w:rPr>
          <w:rFonts w:ascii="Libre Franklin" w:cs="Libre Franklin" w:eastAsia="Libre Franklin" w:hAnsi="Libre Frankli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Supported Global/National Leadership and (200+) Industry Partners/Practitioners by driving global marketing strategy and leading B2B marketing programs for key Global/National Tax Business Units and Industries. Developed fiscal year marketing plans, oversaw yearly budget of $200K, scope included ownership of Demand Generation, Events, Content, Website, Communications, Collateral development, Public Relations, Product Launches and all aspects of marketing as an Individual Contributor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Owned the development and execution of the Transfer Pricing Masters Series Events (100+ client attendees, encompassed Junior 101, Intermediate 201 as well as Advanced Level C-Suite Industry Events – Financial Services, Retail, Consumer and Industrial Products, Technology, Information, Communications, Entertainment and Media, Pharmaceutical/Life Sciences Industries) and Transfer Pricing Webcast Series (1000+ client attendees);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end to end integrated marketing campaigns around key hot topics/client issues and oversaw trade events, internal sector meetings; gained widespread audiences by managing development of thought leadership materials, (journals, press releases, white papers, web content) and publication partner contracts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Advanced consistency with firm branding and messaging while developing content and media placements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Oversaw a support marketing team of five in the development of statement of qualifications and marketing collateral</w:t>
      </w:r>
    </w:p>
    <w:p w:rsidR="00000000" w:rsidDel="00000000" w:rsidP="00000000" w:rsidRDefault="00000000" w:rsidRPr="00000000" w14:paraId="00000028">
      <w:pPr>
        <w:rPr>
          <w:rFonts w:ascii="Libre Franklin" w:cs="Libre Franklin" w:eastAsia="Libre Franklin" w:hAnsi="Libre Franklin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ibre Franklin" w:cs="Libre Franklin" w:eastAsia="Libre Franklin" w:hAnsi="Libre Franklin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tabs>
          <w:tab w:val="right" w:pos="9648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Education</w:t>
      </w:r>
    </w:p>
    <w:p w:rsidR="00000000" w:rsidDel="00000000" w:rsidP="00000000" w:rsidRDefault="00000000" w:rsidRPr="00000000" w14:paraId="0000002B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Brandeis University, Waltham, MA  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08/2001-06/2003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Masters Certificate in Internet Marketing</w:t>
      </w:r>
    </w:p>
    <w:p w:rsidR="00000000" w:rsidDel="00000000" w:rsidP="00000000" w:rsidRDefault="00000000" w:rsidRPr="00000000" w14:paraId="0000002E">
      <w:pPr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ibre Franklin" w:cs="Libre Franklin" w:eastAsia="Libre Franklin" w:hAnsi="Libre Franklin"/>
          <w:b w:val="1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0"/>
          <w:szCs w:val="20"/>
          <w:rtl w:val="0"/>
        </w:rPr>
        <w:t xml:space="preserve">Northeastern University, Boston, MA   </w:t>
      </w: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08/1996-05/2000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Bachelor of Commerce, International Marketing</w:t>
      </w:r>
    </w:p>
    <w:p w:rsidR="00000000" w:rsidDel="00000000" w:rsidP="00000000" w:rsidRDefault="00000000" w:rsidRPr="00000000" w14:paraId="00000031">
      <w:pPr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 w:orient="portrait"/>
      <w:pgMar w:bottom="720" w:top="720" w:left="720" w:right="720" w:header="720" w:footer="86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continued…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3" w:sz="8" w:val="single"/>
      </w:pBdr>
      <w:tabs>
        <w:tab w:val="right" w:pos="9648"/>
      </w:tabs>
      <w:spacing w:before="360" w:lineRule="auto"/>
    </w:pPr>
    <w:rPr>
      <w:rFonts w:ascii="Cambria" w:cs="Cambria" w:eastAsia="Cambria" w:hAnsi="Cambria"/>
      <w:b w:val="1"/>
      <w:sz w:val="30"/>
      <w:szCs w:val="30"/>
    </w:rPr>
  </w:style>
  <w:style w:type="paragraph" w:styleId="Heading2">
    <w:name w:val="heading 2"/>
    <w:basedOn w:val="Normal"/>
    <w:next w:val="Normal"/>
    <w:pPr>
      <w:tabs>
        <w:tab w:val="right" w:pos="9648"/>
      </w:tabs>
      <w:spacing w:before="240" w:lineRule="auto"/>
      <w:jc w:val="both"/>
    </w:pPr>
    <w:rPr>
      <w:u w:val="single"/>
    </w:rPr>
  </w:style>
  <w:style w:type="paragraph" w:styleId="Heading3">
    <w:name w:val="heading 3"/>
    <w:basedOn w:val="Normal"/>
    <w:next w:val="Normal"/>
    <w:pPr>
      <w:tabs>
        <w:tab w:val="right" w:pos="9648"/>
      </w:tabs>
      <w:spacing w:before="240" w:lineRule="auto"/>
      <w:jc w:val="both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