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D5E" w:rsidRDefault="00CF3725">
      <w:pPr>
        <w:spacing w:after="300" w:line="303" w:lineRule="auto"/>
        <w:rPr>
          <w:rFonts w:ascii="Open Sans" w:eastAsia="Open Sans" w:hAnsi="Open Sans" w:cs="Open Sans"/>
          <w:b/>
          <w:sz w:val="36"/>
          <w:szCs w:val="36"/>
        </w:rPr>
      </w:pPr>
      <w:r>
        <w:rPr>
          <w:rFonts w:ascii="Open Sans" w:eastAsia="Open Sans" w:hAnsi="Open Sans" w:cs="Open Sans"/>
          <w:b/>
          <w:sz w:val="36"/>
          <w:szCs w:val="36"/>
        </w:rPr>
        <w:t>JAMES ANDERSON, CCME</w:t>
      </w:r>
    </w:p>
    <w:p w14:paraId="00000002" w14:textId="77777777" w:rsidR="002B4D5E" w:rsidRDefault="00CF3725">
      <w:pPr>
        <w:spacing w:line="240" w:lineRule="auto"/>
        <w:rPr>
          <w:rFonts w:ascii="Open Sans" w:eastAsia="Open Sans" w:hAnsi="Open Sans" w:cs="Open Sans"/>
          <w:sz w:val="20"/>
          <w:szCs w:val="20"/>
        </w:rPr>
      </w:pPr>
      <w:r>
        <w:rPr>
          <w:rFonts w:ascii="Open Sans" w:eastAsia="Open Sans" w:hAnsi="Open Sans" w:cs="Open Sans"/>
          <w:sz w:val="20"/>
          <w:szCs w:val="20"/>
        </w:rPr>
        <w:t>Cincinnati, OH • (555) 123-4567 • jamesanderson@anymail.com • linkedin.com/in/</w:t>
      </w:r>
      <w:proofErr w:type="spellStart"/>
      <w:r>
        <w:rPr>
          <w:rFonts w:ascii="Open Sans" w:eastAsia="Open Sans" w:hAnsi="Open Sans" w:cs="Open Sans"/>
          <w:sz w:val="20"/>
          <w:szCs w:val="20"/>
        </w:rPr>
        <w:t>james-anderson</w:t>
      </w:r>
      <w:proofErr w:type="spellEnd"/>
    </w:p>
    <w:p w14:paraId="00000003" w14:textId="77777777" w:rsidR="002B4D5E" w:rsidRDefault="00CF3725">
      <w:pPr>
        <w:spacing w:before="200" w:line="240" w:lineRule="auto"/>
        <w:rPr>
          <w:rFonts w:ascii="Open Sans" w:eastAsia="Open Sans" w:hAnsi="Open Sans" w:cs="Open Sans"/>
          <w:b/>
          <w:sz w:val="20"/>
          <w:szCs w:val="20"/>
        </w:rPr>
      </w:pPr>
      <w:r>
        <w:rPr>
          <w:rFonts w:ascii="Open Sans" w:eastAsia="Open Sans" w:hAnsi="Open Sans" w:cs="Open Sans"/>
          <w:b/>
          <w:sz w:val="20"/>
          <w:szCs w:val="20"/>
        </w:rPr>
        <w:t>SENIOR PARALEGAL | CONTRACT NEGOTIATION &amp; LITIGATION SPECIALIST</w:t>
      </w:r>
    </w:p>
    <w:p w14:paraId="00000004" w14:textId="77777777" w:rsidR="002B4D5E" w:rsidRDefault="00CF3725">
      <w:pPr>
        <w:spacing w:before="200" w:after="160" w:line="240" w:lineRule="auto"/>
        <w:rPr>
          <w:rFonts w:ascii="Open Sans" w:eastAsia="Open Sans" w:hAnsi="Open Sans" w:cs="Open Sans"/>
          <w:sz w:val="20"/>
          <w:szCs w:val="20"/>
        </w:rPr>
      </w:pPr>
      <w:r>
        <w:rPr>
          <w:rFonts w:ascii="Open Sans" w:eastAsia="Open Sans" w:hAnsi="Open Sans" w:cs="Open Sans"/>
          <w:sz w:val="20"/>
          <w:szCs w:val="20"/>
        </w:rPr>
        <w:t xml:space="preserve">Quality-focused Senior Contracts Leader with more than 18 years’ of experience in commercial and government </w:t>
      </w:r>
      <w:proofErr w:type="gramStart"/>
      <w:r>
        <w:rPr>
          <w:rFonts w:ascii="Open Sans" w:eastAsia="Open Sans" w:hAnsi="Open Sans" w:cs="Open Sans"/>
          <w:sz w:val="20"/>
          <w:szCs w:val="20"/>
        </w:rPr>
        <w:t>contracting,  procurement</w:t>
      </w:r>
      <w:proofErr w:type="gramEnd"/>
      <w:r>
        <w:rPr>
          <w:rFonts w:ascii="Open Sans" w:eastAsia="Open Sans" w:hAnsi="Open Sans" w:cs="Open Sans"/>
          <w:sz w:val="20"/>
          <w:szCs w:val="20"/>
        </w:rPr>
        <w:t>, policies, procedures, and compliance. Superior ability to collaborate with corporate executives, legal counsel, and cross</w:t>
      </w:r>
      <w:r>
        <w:rPr>
          <w:rFonts w:ascii="Open Sans" w:eastAsia="Open Sans" w:hAnsi="Open Sans" w:cs="Open Sans"/>
          <w:sz w:val="20"/>
          <w:szCs w:val="20"/>
        </w:rPr>
        <w:t>-functional teams while using and tailoring automated contracting tools.</w:t>
      </w:r>
    </w:p>
    <w:p w14:paraId="00000005" w14:textId="77777777" w:rsidR="002B4D5E" w:rsidRDefault="00CF3725">
      <w:pPr>
        <w:spacing w:before="200" w:after="160" w:line="240" w:lineRule="auto"/>
        <w:rPr>
          <w:rFonts w:ascii="Open Sans" w:eastAsia="Open Sans" w:hAnsi="Open Sans" w:cs="Open Sans"/>
          <w:sz w:val="20"/>
          <w:szCs w:val="20"/>
        </w:rPr>
      </w:pPr>
      <w:r>
        <w:rPr>
          <w:rFonts w:ascii="Open Sans" w:eastAsia="Open Sans" w:hAnsi="Open Sans" w:cs="Open Sans"/>
          <w:sz w:val="20"/>
          <w:szCs w:val="20"/>
        </w:rPr>
        <w:t>Strategic Business Planning | Contract Governance | Risk Identification &amp; Mitigation | Comprehensive Legal Research | Contract Policy Development | Executive Presentations | Regulator</w:t>
      </w:r>
      <w:r>
        <w:rPr>
          <w:rFonts w:ascii="Open Sans" w:eastAsia="Open Sans" w:hAnsi="Open Sans" w:cs="Open Sans"/>
          <w:sz w:val="20"/>
          <w:szCs w:val="20"/>
        </w:rPr>
        <w:t>y Compliance | Vendor Management | Cross-Functional Collaboration</w:t>
      </w:r>
    </w:p>
    <w:p w14:paraId="00000006" w14:textId="77777777" w:rsidR="002B4D5E" w:rsidRDefault="002B4D5E">
      <w:pPr>
        <w:spacing w:line="240" w:lineRule="auto"/>
        <w:rPr>
          <w:rFonts w:ascii="Open Sans" w:eastAsia="Open Sans" w:hAnsi="Open Sans" w:cs="Open Sans"/>
          <w:sz w:val="20"/>
          <w:szCs w:val="20"/>
        </w:rPr>
      </w:pPr>
    </w:p>
    <w:p w14:paraId="00000007" w14:textId="77777777" w:rsidR="002B4D5E" w:rsidRDefault="00CF3725">
      <w:pPr>
        <w:spacing w:line="240" w:lineRule="auto"/>
        <w:rPr>
          <w:rFonts w:ascii="Open Sans" w:eastAsia="Open Sans" w:hAnsi="Open Sans" w:cs="Open Sans"/>
          <w:b/>
          <w:sz w:val="20"/>
          <w:szCs w:val="20"/>
        </w:rPr>
      </w:pPr>
      <w:r>
        <w:rPr>
          <w:rFonts w:ascii="Open Sans" w:eastAsia="Open Sans" w:hAnsi="Open Sans" w:cs="Open Sans"/>
          <w:b/>
          <w:sz w:val="20"/>
          <w:szCs w:val="20"/>
        </w:rPr>
        <w:t>WORK EXPERIENCE</w:t>
      </w:r>
    </w:p>
    <w:p w14:paraId="00000008" w14:textId="77777777" w:rsidR="002B4D5E" w:rsidRDefault="002B4D5E">
      <w:pPr>
        <w:spacing w:line="240" w:lineRule="auto"/>
        <w:rPr>
          <w:rFonts w:ascii="Open Sans" w:eastAsia="Open Sans" w:hAnsi="Open Sans" w:cs="Open Sans"/>
          <w:b/>
          <w:sz w:val="20"/>
          <w:szCs w:val="20"/>
        </w:rPr>
      </w:pPr>
    </w:p>
    <w:p w14:paraId="00000009"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b/>
          <w:sz w:val="20"/>
          <w:szCs w:val="20"/>
        </w:rPr>
        <w:t>PPL Maryland, Baltimore, MD • Senior Paralegal and Head of Contract Negotiations</w:t>
      </w:r>
    </w:p>
    <w:p w14:paraId="0000000A" w14:textId="77777777" w:rsidR="002B4D5E" w:rsidRDefault="00CF3725">
      <w:pPr>
        <w:spacing w:after="300" w:line="240" w:lineRule="auto"/>
        <w:ind w:left="7200"/>
        <w:rPr>
          <w:rFonts w:ascii="Open Sans" w:eastAsia="Open Sans" w:hAnsi="Open Sans" w:cs="Open Sans"/>
          <w:sz w:val="20"/>
          <w:szCs w:val="20"/>
        </w:rPr>
      </w:pPr>
      <w:r>
        <w:rPr>
          <w:rFonts w:ascii="Open Sans" w:eastAsia="Open Sans" w:hAnsi="Open Sans" w:cs="Open Sans"/>
          <w:sz w:val="20"/>
          <w:szCs w:val="20"/>
        </w:rPr>
        <w:t xml:space="preserve">         (1/2018 - Present)</w:t>
      </w:r>
    </w:p>
    <w:p w14:paraId="0000000B"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sz w:val="20"/>
          <w:szCs w:val="20"/>
        </w:rPr>
        <w:t>Manage corporate contract management, execution, and entity man</w:t>
      </w:r>
      <w:r>
        <w:rPr>
          <w:rFonts w:ascii="Open Sans" w:eastAsia="Open Sans" w:hAnsi="Open Sans" w:cs="Open Sans"/>
          <w:sz w:val="20"/>
          <w:szCs w:val="20"/>
        </w:rPr>
        <w:t>agement software system in collaboration with the CFO and General Counsel. Work with the Chief Operations Officer and procurement team to negotiate and finalize all food, beverage, and service supply agreements.</w:t>
      </w:r>
    </w:p>
    <w:p w14:paraId="0000000C" w14:textId="77777777" w:rsidR="002B4D5E" w:rsidRDefault="00CF3725">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 xml:space="preserve">Instrumental with growing corporate revenue </w:t>
      </w:r>
      <w:r>
        <w:rPr>
          <w:rFonts w:ascii="Open Sans" w:eastAsia="Open Sans" w:hAnsi="Open Sans" w:cs="Open Sans"/>
          <w:sz w:val="20"/>
          <w:szCs w:val="20"/>
        </w:rPr>
        <w:t>to $333 million in 2019 from $228 million in 2018 through judicious buy side and sell side contract administration.</w:t>
      </w:r>
    </w:p>
    <w:p w14:paraId="0000000D" w14:textId="77777777" w:rsidR="002B4D5E" w:rsidRDefault="00CF3725">
      <w:pPr>
        <w:numPr>
          <w:ilvl w:val="0"/>
          <w:numId w:val="4"/>
        </w:numPr>
        <w:spacing w:line="240" w:lineRule="auto"/>
        <w:rPr>
          <w:rFonts w:ascii="Open Sans" w:eastAsia="Open Sans" w:hAnsi="Open Sans" w:cs="Open Sans"/>
          <w:sz w:val="20"/>
          <w:szCs w:val="20"/>
        </w:rPr>
      </w:pPr>
      <w:r>
        <w:rPr>
          <w:rFonts w:ascii="Open Sans" w:eastAsia="Open Sans" w:hAnsi="Open Sans" w:cs="Open Sans"/>
          <w:sz w:val="20"/>
          <w:szCs w:val="20"/>
        </w:rPr>
        <w:t>Reduced overhead costs by outsourcing legal services and selecting new service providers.</w:t>
      </w:r>
    </w:p>
    <w:p w14:paraId="0000000E" w14:textId="77777777" w:rsidR="002B4D5E" w:rsidRDefault="00CF3725">
      <w:pPr>
        <w:numPr>
          <w:ilvl w:val="0"/>
          <w:numId w:val="4"/>
        </w:numPr>
        <w:spacing w:after="300" w:line="240" w:lineRule="auto"/>
        <w:rPr>
          <w:rFonts w:ascii="Open Sans" w:eastAsia="Open Sans" w:hAnsi="Open Sans" w:cs="Open Sans"/>
          <w:sz w:val="20"/>
          <w:szCs w:val="20"/>
        </w:rPr>
      </w:pPr>
      <w:r>
        <w:rPr>
          <w:rFonts w:ascii="Open Sans" w:eastAsia="Open Sans" w:hAnsi="Open Sans" w:cs="Open Sans"/>
          <w:sz w:val="20"/>
          <w:szCs w:val="20"/>
        </w:rPr>
        <w:t>Completed extensive legal research to design Affor</w:t>
      </w:r>
      <w:r>
        <w:rPr>
          <w:rFonts w:ascii="Open Sans" w:eastAsia="Open Sans" w:hAnsi="Open Sans" w:cs="Open Sans"/>
          <w:sz w:val="20"/>
          <w:szCs w:val="20"/>
        </w:rPr>
        <w:t>dable Care Act (ACA) nutrition information compliance plan for menu labeling alongside culinary team.</w:t>
      </w:r>
    </w:p>
    <w:p w14:paraId="0000000F"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b/>
          <w:sz w:val="20"/>
          <w:szCs w:val="20"/>
        </w:rPr>
        <w:t xml:space="preserve">Sanderson &amp; Rogers, LLC, Columbia, MD • Contract Administrator     </w:t>
      </w:r>
      <w:r>
        <w:rPr>
          <w:rFonts w:ascii="Open Sans" w:eastAsia="Open Sans" w:hAnsi="Open Sans" w:cs="Open Sans"/>
          <w:b/>
          <w:sz w:val="20"/>
          <w:szCs w:val="20"/>
        </w:rPr>
        <w:tab/>
        <w:t xml:space="preserve">   </w:t>
      </w:r>
      <w:proofErr w:type="gramStart"/>
      <w:r>
        <w:rPr>
          <w:rFonts w:ascii="Open Sans" w:eastAsia="Open Sans" w:hAnsi="Open Sans" w:cs="Open Sans"/>
          <w:b/>
          <w:sz w:val="20"/>
          <w:szCs w:val="20"/>
        </w:rPr>
        <w:t xml:space="preserve">   </w:t>
      </w:r>
      <w:r>
        <w:rPr>
          <w:rFonts w:ascii="Open Sans" w:eastAsia="Open Sans" w:hAnsi="Open Sans" w:cs="Open Sans"/>
          <w:sz w:val="20"/>
          <w:szCs w:val="20"/>
        </w:rPr>
        <w:t>(</w:t>
      </w:r>
      <w:proofErr w:type="gramEnd"/>
      <w:r>
        <w:rPr>
          <w:rFonts w:ascii="Open Sans" w:eastAsia="Open Sans" w:hAnsi="Open Sans" w:cs="Open Sans"/>
          <w:sz w:val="20"/>
          <w:szCs w:val="20"/>
        </w:rPr>
        <w:t>02/2009 - 12/2017)</w:t>
      </w:r>
    </w:p>
    <w:p w14:paraId="00000010"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sz w:val="20"/>
          <w:szCs w:val="20"/>
        </w:rPr>
        <w:t>Negotiated goods and services contracts with commercial firm</w:t>
      </w:r>
      <w:r>
        <w:rPr>
          <w:rFonts w:ascii="Open Sans" w:eastAsia="Open Sans" w:hAnsi="Open Sans" w:cs="Open Sans"/>
          <w:sz w:val="20"/>
          <w:szCs w:val="20"/>
        </w:rPr>
        <w:t>s, state, and local government health and human services agencies. Planned and executed risk mitigation strategies for contracts and proposals. Evaluated risk factors and briefed executive panels on RFP review of new business opportunities.</w:t>
      </w:r>
    </w:p>
    <w:p w14:paraId="00000011" w14:textId="77777777" w:rsidR="002B4D5E" w:rsidRDefault="00CF3725">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Administered an</w:t>
      </w:r>
      <w:r>
        <w:rPr>
          <w:rFonts w:ascii="Open Sans" w:eastAsia="Open Sans" w:hAnsi="Open Sans" w:cs="Open Sans"/>
          <w:sz w:val="20"/>
          <w:szCs w:val="20"/>
        </w:rPr>
        <w:t>d closed thousands of contracts with a collective value of over $375 million.</w:t>
      </w:r>
    </w:p>
    <w:p w14:paraId="00000012" w14:textId="77777777" w:rsidR="002B4D5E" w:rsidRDefault="00CF3725">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Collaborated with the executive team in conducting extensive due diligence leading to the $48 million acquisition and integration of a competing firm.</w:t>
      </w:r>
    </w:p>
    <w:p w14:paraId="00000013" w14:textId="77777777" w:rsidR="002B4D5E" w:rsidRDefault="00CF3725">
      <w:pPr>
        <w:numPr>
          <w:ilvl w:val="0"/>
          <w:numId w:val="3"/>
        </w:numPr>
        <w:spacing w:after="300" w:line="240" w:lineRule="auto"/>
        <w:rPr>
          <w:rFonts w:ascii="Open Sans" w:eastAsia="Open Sans" w:hAnsi="Open Sans" w:cs="Open Sans"/>
          <w:sz w:val="20"/>
          <w:szCs w:val="20"/>
        </w:rPr>
      </w:pPr>
      <w:r>
        <w:rPr>
          <w:rFonts w:ascii="Open Sans" w:eastAsia="Open Sans" w:hAnsi="Open Sans" w:cs="Open Sans"/>
          <w:sz w:val="20"/>
          <w:szCs w:val="20"/>
        </w:rPr>
        <w:t>Significantly increased tea</w:t>
      </w:r>
      <w:r>
        <w:rPr>
          <w:rFonts w:ascii="Open Sans" w:eastAsia="Open Sans" w:hAnsi="Open Sans" w:cs="Open Sans"/>
          <w:sz w:val="20"/>
          <w:szCs w:val="20"/>
        </w:rPr>
        <w:t>mwork and efficiency while reducing response time from weeks to days by designing and implementing contract team initiatives that surpassed executive risk management objectives.</w:t>
      </w:r>
    </w:p>
    <w:p w14:paraId="00000014"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b/>
          <w:sz w:val="20"/>
          <w:szCs w:val="20"/>
        </w:rPr>
        <w:lastRenderedPageBreak/>
        <w:t xml:space="preserve">JDW Legal Recruiters, Baltimore, MD • Legal Talent Recruiting Specialist   </w:t>
      </w:r>
      <w:r>
        <w:rPr>
          <w:rFonts w:ascii="Open Sans" w:eastAsia="Open Sans" w:hAnsi="Open Sans" w:cs="Open Sans"/>
          <w:sz w:val="20"/>
          <w:szCs w:val="20"/>
        </w:rPr>
        <w:t xml:space="preserve">  </w:t>
      </w:r>
      <w:proofErr w:type="gramStart"/>
      <w:r>
        <w:rPr>
          <w:rFonts w:ascii="Open Sans" w:eastAsia="Open Sans" w:hAnsi="Open Sans" w:cs="Open Sans"/>
          <w:sz w:val="20"/>
          <w:szCs w:val="20"/>
        </w:rPr>
        <w:t xml:space="preserve"> </w:t>
      </w:r>
      <w:r>
        <w:rPr>
          <w:rFonts w:ascii="Open Sans" w:eastAsia="Open Sans" w:hAnsi="Open Sans" w:cs="Open Sans"/>
          <w:sz w:val="20"/>
          <w:szCs w:val="20"/>
        </w:rPr>
        <w:t xml:space="preserve">  (</w:t>
      </w:r>
      <w:proofErr w:type="gramEnd"/>
      <w:r>
        <w:rPr>
          <w:rFonts w:ascii="Open Sans" w:eastAsia="Open Sans" w:hAnsi="Open Sans" w:cs="Open Sans"/>
          <w:sz w:val="20"/>
          <w:szCs w:val="20"/>
        </w:rPr>
        <w:t>01/2007 - 01/2009)</w:t>
      </w:r>
    </w:p>
    <w:p w14:paraId="00000015"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sz w:val="20"/>
          <w:szCs w:val="20"/>
        </w:rPr>
        <w:t xml:space="preserve">Managed regional and national candidate searches at this executive recruiter for top legal professionals. Supervised a team of six staff research assistants. </w:t>
      </w:r>
    </w:p>
    <w:p w14:paraId="00000016" w14:textId="77777777" w:rsidR="002B4D5E" w:rsidRDefault="00CF3725">
      <w:pPr>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Generated $750,000 revenue within the first nine months of operations by leading a profitable law</w:t>
      </w:r>
      <w:r>
        <w:rPr>
          <w:rFonts w:ascii="Open Sans" w:eastAsia="Open Sans" w:hAnsi="Open Sans" w:cs="Open Sans"/>
          <w:sz w:val="20"/>
          <w:szCs w:val="20"/>
        </w:rPr>
        <w:t xml:space="preserve"> firm partner placement project.</w:t>
      </w:r>
    </w:p>
    <w:p w14:paraId="00000017" w14:textId="77777777" w:rsidR="002B4D5E" w:rsidRDefault="00CF3725">
      <w:pPr>
        <w:numPr>
          <w:ilvl w:val="0"/>
          <w:numId w:val="5"/>
        </w:numPr>
        <w:spacing w:after="300" w:line="240" w:lineRule="auto"/>
        <w:rPr>
          <w:rFonts w:ascii="Open Sans" w:eastAsia="Open Sans" w:hAnsi="Open Sans" w:cs="Open Sans"/>
          <w:sz w:val="20"/>
          <w:szCs w:val="20"/>
        </w:rPr>
      </w:pPr>
      <w:r>
        <w:rPr>
          <w:rFonts w:ascii="Open Sans" w:eastAsia="Open Sans" w:hAnsi="Open Sans" w:cs="Open Sans"/>
          <w:sz w:val="20"/>
          <w:szCs w:val="20"/>
        </w:rPr>
        <w:t xml:space="preserve">Directed the completion and administration of multiple projects, working with 25+ candidates simultaneously. </w:t>
      </w:r>
    </w:p>
    <w:p w14:paraId="00000018"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b/>
          <w:sz w:val="20"/>
          <w:szCs w:val="20"/>
        </w:rPr>
        <w:t>Corporate Law Specialists, PLC, Towson, MD • Senior Paralegal</w:t>
      </w:r>
      <w:r>
        <w:rPr>
          <w:rFonts w:ascii="Open Sans" w:eastAsia="Open Sans" w:hAnsi="Open Sans" w:cs="Open Sans"/>
          <w:b/>
          <w:sz w:val="20"/>
          <w:szCs w:val="20"/>
        </w:rPr>
        <w:tab/>
      </w:r>
      <w:r>
        <w:rPr>
          <w:rFonts w:ascii="Open Sans" w:eastAsia="Open Sans" w:hAnsi="Open Sans" w:cs="Open Sans"/>
          <w:b/>
          <w:sz w:val="20"/>
          <w:szCs w:val="20"/>
        </w:rPr>
        <w:tab/>
        <w:t xml:space="preserve">   </w:t>
      </w:r>
      <w:proofErr w:type="gramStart"/>
      <w:r>
        <w:rPr>
          <w:rFonts w:ascii="Open Sans" w:eastAsia="Open Sans" w:hAnsi="Open Sans" w:cs="Open Sans"/>
          <w:b/>
          <w:sz w:val="20"/>
          <w:szCs w:val="20"/>
        </w:rPr>
        <w:t xml:space="preserve">   </w:t>
      </w:r>
      <w:r>
        <w:rPr>
          <w:rFonts w:ascii="Open Sans" w:eastAsia="Open Sans" w:hAnsi="Open Sans" w:cs="Open Sans"/>
          <w:sz w:val="20"/>
          <w:szCs w:val="20"/>
        </w:rPr>
        <w:t>(</w:t>
      </w:r>
      <w:proofErr w:type="gramEnd"/>
      <w:r>
        <w:rPr>
          <w:rFonts w:ascii="Open Sans" w:eastAsia="Open Sans" w:hAnsi="Open Sans" w:cs="Open Sans"/>
          <w:sz w:val="20"/>
          <w:szCs w:val="20"/>
        </w:rPr>
        <w:t>08/2003 - 12/2006)</w:t>
      </w:r>
    </w:p>
    <w:p w14:paraId="00000019"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sz w:val="20"/>
          <w:szCs w:val="20"/>
        </w:rPr>
        <w:t>Conducted extensive lega</w:t>
      </w:r>
      <w:r>
        <w:rPr>
          <w:rFonts w:ascii="Open Sans" w:eastAsia="Open Sans" w:hAnsi="Open Sans" w:cs="Open Sans"/>
          <w:sz w:val="20"/>
          <w:szCs w:val="20"/>
        </w:rPr>
        <w:t>l research into intellectual property (IP), export compliance, and international, local, state, and federal ITAR, FAR, and DFARS laws and regulations.</w:t>
      </w:r>
    </w:p>
    <w:p w14:paraId="0000001A" w14:textId="77777777" w:rsidR="002B4D5E" w:rsidRDefault="00CF3725">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Presented and designed an electronic library of corporate certifications and supporting documentation.</w:t>
      </w:r>
    </w:p>
    <w:p w14:paraId="0000001B" w14:textId="77777777" w:rsidR="002B4D5E" w:rsidRDefault="00CF3725">
      <w:pPr>
        <w:numPr>
          <w:ilvl w:val="0"/>
          <w:numId w:val="1"/>
        </w:numPr>
        <w:spacing w:after="300" w:line="240" w:lineRule="auto"/>
        <w:rPr>
          <w:rFonts w:ascii="Open Sans" w:eastAsia="Open Sans" w:hAnsi="Open Sans" w:cs="Open Sans"/>
          <w:sz w:val="20"/>
          <w:szCs w:val="20"/>
        </w:rPr>
      </w:pPr>
      <w:r>
        <w:rPr>
          <w:rFonts w:ascii="Open Sans" w:eastAsia="Open Sans" w:hAnsi="Open Sans" w:cs="Open Sans"/>
          <w:sz w:val="20"/>
          <w:szCs w:val="20"/>
        </w:rPr>
        <w:t>In</w:t>
      </w:r>
      <w:r>
        <w:rPr>
          <w:rFonts w:ascii="Open Sans" w:eastAsia="Open Sans" w:hAnsi="Open Sans" w:cs="Open Sans"/>
          <w:sz w:val="20"/>
          <w:szCs w:val="20"/>
        </w:rPr>
        <w:t>tegral member of the Legal Department Design and Development team, which produced an innovative, streamlined review process for contract terms and conditions, signature limits of authority, teaming agreements, and non-disclosure agreements.</w:t>
      </w:r>
    </w:p>
    <w:p w14:paraId="0000001C"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b/>
          <w:sz w:val="20"/>
          <w:szCs w:val="20"/>
        </w:rPr>
        <w:t>Grant &amp; Johnson</w:t>
      </w:r>
      <w:r>
        <w:rPr>
          <w:rFonts w:ascii="Open Sans" w:eastAsia="Open Sans" w:hAnsi="Open Sans" w:cs="Open Sans"/>
          <w:b/>
          <w:sz w:val="20"/>
          <w:szCs w:val="20"/>
        </w:rPr>
        <w:t>, LLC, Baltimore, MD • Litigation Paralegal</w:t>
      </w:r>
      <w:proofErr w:type="gramStart"/>
      <w:r>
        <w:rPr>
          <w:rFonts w:ascii="Open Sans" w:eastAsia="Open Sans" w:hAnsi="Open Sans" w:cs="Open Sans"/>
          <w:b/>
          <w:sz w:val="20"/>
          <w:szCs w:val="20"/>
        </w:rPr>
        <w:tab/>
        <w:t xml:space="preserve">  </w:t>
      </w:r>
      <w:r>
        <w:rPr>
          <w:rFonts w:ascii="Open Sans" w:eastAsia="Open Sans" w:hAnsi="Open Sans" w:cs="Open Sans"/>
          <w:b/>
          <w:sz w:val="20"/>
          <w:szCs w:val="20"/>
        </w:rPr>
        <w:tab/>
      </w:r>
      <w:proofErr w:type="gramEnd"/>
      <w:r>
        <w:rPr>
          <w:rFonts w:ascii="Open Sans" w:eastAsia="Open Sans" w:hAnsi="Open Sans" w:cs="Open Sans"/>
          <w:b/>
          <w:sz w:val="20"/>
          <w:szCs w:val="20"/>
        </w:rPr>
        <w:t xml:space="preserve">      </w:t>
      </w:r>
      <w:r>
        <w:rPr>
          <w:rFonts w:ascii="Open Sans" w:eastAsia="Open Sans" w:hAnsi="Open Sans" w:cs="Open Sans"/>
          <w:sz w:val="20"/>
          <w:szCs w:val="20"/>
        </w:rPr>
        <w:t>(08/2001 - 07/2003)</w:t>
      </w:r>
    </w:p>
    <w:p w14:paraId="0000001D" w14:textId="77777777" w:rsidR="002B4D5E" w:rsidRDefault="00CF3725">
      <w:pPr>
        <w:spacing w:after="300" w:line="240" w:lineRule="auto"/>
        <w:rPr>
          <w:rFonts w:ascii="Open Sans" w:eastAsia="Open Sans" w:hAnsi="Open Sans" w:cs="Open Sans"/>
          <w:sz w:val="20"/>
          <w:szCs w:val="20"/>
        </w:rPr>
      </w:pPr>
      <w:r>
        <w:rPr>
          <w:rFonts w:ascii="Open Sans" w:eastAsia="Open Sans" w:hAnsi="Open Sans" w:cs="Open Sans"/>
          <w:sz w:val="20"/>
          <w:szCs w:val="20"/>
        </w:rPr>
        <w:t>Managed medical record subpoenas during discovery and trial phases of products liability and toxic torts litigation. Designed and created graphic representations of medical records, p</w:t>
      </w:r>
      <w:r>
        <w:rPr>
          <w:rFonts w:ascii="Open Sans" w:eastAsia="Open Sans" w:hAnsi="Open Sans" w:cs="Open Sans"/>
          <w:sz w:val="20"/>
          <w:szCs w:val="20"/>
        </w:rPr>
        <w:t>repared medical record summaries, and worked directly with medical experts to collect documents used in hearings, trials, and claims.</w:t>
      </w:r>
    </w:p>
    <w:p w14:paraId="0000001E" w14:textId="77777777" w:rsidR="002B4D5E" w:rsidRDefault="00CF3725">
      <w:pPr>
        <w:numPr>
          <w:ilvl w:val="0"/>
          <w:numId w:val="2"/>
        </w:numPr>
        <w:spacing w:line="240" w:lineRule="auto"/>
        <w:rPr>
          <w:rFonts w:ascii="Open Sans" w:eastAsia="Open Sans" w:hAnsi="Open Sans" w:cs="Open Sans"/>
          <w:sz w:val="20"/>
          <w:szCs w:val="20"/>
        </w:rPr>
      </w:pPr>
      <w:r>
        <w:rPr>
          <w:rFonts w:ascii="Open Sans" w:eastAsia="Open Sans" w:hAnsi="Open Sans" w:cs="Open Sans"/>
          <w:sz w:val="20"/>
          <w:szCs w:val="20"/>
        </w:rPr>
        <w:t>Produced animated medical graphics for counsel in dozens of national products liability class action suits.</w:t>
      </w:r>
    </w:p>
    <w:p w14:paraId="0000001F" w14:textId="77777777" w:rsidR="002B4D5E" w:rsidRDefault="00CF3725">
      <w:pPr>
        <w:numPr>
          <w:ilvl w:val="0"/>
          <w:numId w:val="2"/>
        </w:numPr>
        <w:spacing w:after="300" w:line="240" w:lineRule="auto"/>
        <w:rPr>
          <w:rFonts w:ascii="Open Sans" w:eastAsia="Open Sans" w:hAnsi="Open Sans" w:cs="Open Sans"/>
          <w:sz w:val="20"/>
          <w:szCs w:val="20"/>
        </w:rPr>
      </w:pPr>
      <w:r>
        <w:rPr>
          <w:rFonts w:ascii="Open Sans" w:eastAsia="Open Sans" w:hAnsi="Open Sans" w:cs="Open Sans"/>
          <w:sz w:val="20"/>
          <w:szCs w:val="20"/>
        </w:rPr>
        <w:t>Established HIPAA compliant medical record subpoenas and template library, working with hundreds of hospitals and medical providers on a day-to-day basis.</w:t>
      </w:r>
    </w:p>
    <w:p w14:paraId="00000020" w14:textId="77777777" w:rsidR="002B4D5E" w:rsidRDefault="00CF3725">
      <w:pPr>
        <w:spacing w:before="200" w:after="160" w:line="240" w:lineRule="auto"/>
        <w:rPr>
          <w:rFonts w:ascii="Open Sans" w:eastAsia="Open Sans" w:hAnsi="Open Sans" w:cs="Open Sans"/>
          <w:b/>
          <w:sz w:val="20"/>
          <w:szCs w:val="20"/>
        </w:rPr>
      </w:pPr>
      <w:r>
        <w:rPr>
          <w:rFonts w:ascii="Open Sans" w:eastAsia="Open Sans" w:hAnsi="Open Sans" w:cs="Open Sans"/>
          <w:b/>
          <w:sz w:val="20"/>
          <w:szCs w:val="20"/>
        </w:rPr>
        <w:t>EDUCATION AND CERTIFICATIONS</w:t>
      </w:r>
    </w:p>
    <w:p w14:paraId="00000021" w14:textId="77777777" w:rsidR="002B4D5E" w:rsidRDefault="00CF3725">
      <w:pPr>
        <w:spacing w:line="240" w:lineRule="auto"/>
        <w:rPr>
          <w:rFonts w:ascii="Open Sans" w:eastAsia="Open Sans" w:hAnsi="Open Sans" w:cs="Open Sans"/>
          <w:b/>
          <w:sz w:val="20"/>
          <w:szCs w:val="20"/>
        </w:rPr>
      </w:pPr>
      <w:r>
        <w:rPr>
          <w:rFonts w:ascii="Open Sans" w:eastAsia="Open Sans" w:hAnsi="Open Sans" w:cs="Open Sans"/>
          <w:b/>
          <w:sz w:val="20"/>
          <w:szCs w:val="20"/>
        </w:rPr>
        <w:t>Loyola University Maryland, Baltimore, MD • Bachelor of Science, Paraleg</w:t>
      </w:r>
      <w:r>
        <w:rPr>
          <w:rFonts w:ascii="Open Sans" w:eastAsia="Open Sans" w:hAnsi="Open Sans" w:cs="Open Sans"/>
          <w:b/>
          <w:sz w:val="20"/>
          <w:szCs w:val="20"/>
        </w:rPr>
        <w:t>al Studies</w:t>
      </w:r>
    </w:p>
    <w:p w14:paraId="00000022" w14:textId="77777777" w:rsidR="002B4D5E" w:rsidRDefault="00CF3725">
      <w:pPr>
        <w:spacing w:line="240" w:lineRule="auto"/>
        <w:rPr>
          <w:rFonts w:ascii="Open Sans" w:eastAsia="Open Sans" w:hAnsi="Open Sans" w:cs="Open Sans"/>
          <w:sz w:val="20"/>
          <w:szCs w:val="20"/>
        </w:rPr>
      </w:pPr>
      <w:r>
        <w:rPr>
          <w:rFonts w:ascii="Open Sans" w:eastAsia="Open Sans" w:hAnsi="Open Sans" w:cs="Open Sans"/>
          <w:sz w:val="20"/>
          <w:szCs w:val="20"/>
        </w:rPr>
        <w:t>2001</w:t>
      </w:r>
    </w:p>
    <w:p w14:paraId="00000023" w14:textId="77777777" w:rsidR="002B4D5E" w:rsidRDefault="002B4D5E">
      <w:pPr>
        <w:spacing w:line="240" w:lineRule="auto"/>
        <w:rPr>
          <w:rFonts w:ascii="Open Sans" w:eastAsia="Open Sans" w:hAnsi="Open Sans" w:cs="Open Sans"/>
          <w:sz w:val="20"/>
          <w:szCs w:val="20"/>
        </w:rPr>
      </w:pPr>
    </w:p>
    <w:p w14:paraId="00000024" w14:textId="77777777" w:rsidR="002B4D5E" w:rsidRDefault="00CF3725">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 xml:space="preserve">CCME Certification - Contract and </w:t>
      </w:r>
      <w:proofErr w:type="gramStart"/>
      <w:r>
        <w:rPr>
          <w:rFonts w:ascii="Open Sans" w:eastAsia="Open Sans" w:hAnsi="Open Sans" w:cs="Open Sans"/>
          <w:sz w:val="20"/>
          <w:szCs w:val="20"/>
        </w:rPr>
        <w:t>Commercial  Management</w:t>
      </w:r>
      <w:proofErr w:type="gramEnd"/>
      <w:r>
        <w:rPr>
          <w:rFonts w:ascii="Open Sans" w:eastAsia="Open Sans" w:hAnsi="Open Sans" w:cs="Open Sans"/>
          <w:sz w:val="20"/>
          <w:szCs w:val="20"/>
        </w:rPr>
        <w:t xml:space="preserve"> Expert Member, International Association for Contract and Commercial Management (IACCM)</w:t>
      </w:r>
    </w:p>
    <w:p w14:paraId="00000025" w14:textId="77777777" w:rsidR="002B4D5E" w:rsidRDefault="00CF3725">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Executive Certification in Negotiation, University of Michigan</w:t>
      </w:r>
    </w:p>
    <w:p w14:paraId="00000026" w14:textId="77777777" w:rsidR="002B4D5E" w:rsidRDefault="00CF3725">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Notary Public, Maryland</w:t>
      </w:r>
    </w:p>
    <w:sectPr w:rsidR="002B4D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2CD"/>
    <w:multiLevelType w:val="multilevel"/>
    <w:tmpl w:val="CA20C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51D28"/>
    <w:multiLevelType w:val="multilevel"/>
    <w:tmpl w:val="56AA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D1FAB"/>
    <w:multiLevelType w:val="multilevel"/>
    <w:tmpl w:val="1E088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3B2186"/>
    <w:multiLevelType w:val="multilevel"/>
    <w:tmpl w:val="B1280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9177D8"/>
    <w:multiLevelType w:val="multilevel"/>
    <w:tmpl w:val="D26E4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905A4"/>
    <w:multiLevelType w:val="multilevel"/>
    <w:tmpl w:val="3A36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5E"/>
    <w:rsid w:val="002B4D5E"/>
    <w:rsid w:val="00C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D14DF5B-3939-5A44-BC9F-E564932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Nath</cp:lastModifiedBy>
  <cp:revision>2</cp:revision>
  <dcterms:created xsi:type="dcterms:W3CDTF">2021-07-13T23:04:00Z</dcterms:created>
  <dcterms:modified xsi:type="dcterms:W3CDTF">2021-07-13T23:04:00Z</dcterms:modified>
</cp:coreProperties>
</file>